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2785BC" w14:textId="77777777" w:rsidR="00A44336" w:rsidRPr="00061B2F" w:rsidRDefault="00DA4F2B" w:rsidP="00DA4F2B">
      <w:pPr>
        <w:pStyle w:val="Title"/>
        <w:spacing w:after="240"/>
        <w:rPr>
          <w:b/>
          <w:sz w:val="32"/>
          <w:szCs w:val="32"/>
        </w:rPr>
      </w:pPr>
      <w:bookmarkStart w:id="0" w:name="_GoBack"/>
      <w:bookmarkEnd w:id="0"/>
      <w:r w:rsidRPr="00061B2F">
        <w:rPr>
          <w:b/>
          <w:sz w:val="32"/>
          <w:szCs w:val="32"/>
        </w:rPr>
        <w:t>What is a Key Theme?</w:t>
      </w:r>
    </w:p>
    <w:p w14:paraId="51426E96" w14:textId="77777777" w:rsidR="00306BB6" w:rsidRPr="0081565E" w:rsidRDefault="00DA4F2B" w:rsidP="00DA4F2B">
      <w:pPr>
        <w:rPr>
          <w:rFonts w:asciiTheme="majorHAnsi" w:hAnsiTheme="majorHAnsi"/>
          <w:sz w:val="24"/>
          <w:szCs w:val="24"/>
        </w:rPr>
      </w:pPr>
      <w:r w:rsidRPr="0081565E">
        <w:rPr>
          <w:rFonts w:asciiTheme="majorHAnsi" w:hAnsiTheme="majorHAnsi"/>
          <w:b/>
          <w:sz w:val="24"/>
          <w:szCs w:val="24"/>
        </w:rPr>
        <w:t>Definition</w:t>
      </w:r>
      <w:r w:rsidR="00306BB6" w:rsidRPr="0081565E">
        <w:rPr>
          <w:rFonts w:asciiTheme="majorHAnsi" w:hAnsiTheme="majorHAnsi"/>
          <w:sz w:val="24"/>
          <w:szCs w:val="24"/>
        </w:rPr>
        <w:tab/>
      </w:r>
    </w:p>
    <w:p w14:paraId="7C9962E8" w14:textId="77777777" w:rsidR="00306BB6" w:rsidRPr="0081565E" w:rsidRDefault="00306BB6" w:rsidP="00306BB6">
      <w:pPr>
        <w:rPr>
          <w:rFonts w:asciiTheme="majorHAnsi" w:hAnsiTheme="majorHAnsi"/>
          <w:sz w:val="23"/>
          <w:szCs w:val="23"/>
        </w:rPr>
      </w:pPr>
      <w:r w:rsidRPr="0081565E">
        <w:rPr>
          <w:rFonts w:asciiTheme="majorHAnsi" w:hAnsiTheme="majorHAnsi"/>
          <w:sz w:val="23"/>
          <w:szCs w:val="23"/>
        </w:rPr>
        <w:t>A key theme is a perception or observation that recurs throughout the scorebook, and across processes and results, reflecting major strengths, opportunities, or vulnerabilities. [In BOSS, major strengths and opportunities for improvement (OFIs) at the item level are indicated with ++ or - - signs.]</w:t>
      </w:r>
    </w:p>
    <w:p w14:paraId="23744622" w14:textId="77777777" w:rsidR="00306BB6" w:rsidRPr="0081565E" w:rsidRDefault="00306BB6" w:rsidP="00306BB6">
      <w:pPr>
        <w:rPr>
          <w:rFonts w:asciiTheme="majorHAnsi" w:hAnsiTheme="majorHAnsi"/>
          <w:b/>
          <w:sz w:val="24"/>
          <w:szCs w:val="24"/>
        </w:rPr>
      </w:pPr>
      <w:r w:rsidRPr="0081565E">
        <w:rPr>
          <w:rFonts w:asciiTheme="majorHAnsi" w:hAnsiTheme="majorHAnsi"/>
          <w:b/>
          <w:sz w:val="24"/>
          <w:szCs w:val="24"/>
        </w:rPr>
        <w:t>Features</w:t>
      </w:r>
    </w:p>
    <w:p w14:paraId="3EB356E6" w14:textId="77777777" w:rsidR="00306BB6" w:rsidRPr="0081565E" w:rsidRDefault="00306BB6" w:rsidP="0046284D">
      <w:pPr>
        <w:spacing w:after="120"/>
        <w:rPr>
          <w:rFonts w:asciiTheme="majorHAnsi" w:hAnsiTheme="majorHAnsi"/>
          <w:sz w:val="23"/>
          <w:szCs w:val="23"/>
        </w:rPr>
      </w:pPr>
      <w:r w:rsidRPr="0081565E">
        <w:rPr>
          <w:rFonts w:asciiTheme="majorHAnsi" w:hAnsiTheme="majorHAnsi"/>
          <w:sz w:val="23"/>
          <w:szCs w:val="23"/>
        </w:rPr>
        <w:t>Key themes</w:t>
      </w:r>
    </w:p>
    <w:p w14:paraId="01199983" w14:textId="77777777" w:rsidR="00306BB6" w:rsidRPr="0081565E" w:rsidRDefault="00306BB6" w:rsidP="00306BB6">
      <w:pPr>
        <w:numPr>
          <w:ilvl w:val="0"/>
          <w:numId w:val="1"/>
        </w:numPr>
        <w:contextualSpacing/>
        <w:rPr>
          <w:rFonts w:asciiTheme="majorHAnsi" w:hAnsiTheme="majorHAnsi"/>
          <w:sz w:val="23"/>
          <w:szCs w:val="23"/>
        </w:rPr>
      </w:pPr>
      <w:r w:rsidRPr="0081565E">
        <w:rPr>
          <w:rFonts w:asciiTheme="majorHAnsi" w:hAnsiTheme="majorHAnsi"/>
          <w:sz w:val="23"/>
          <w:szCs w:val="23"/>
        </w:rPr>
        <w:t>are comments addressing high-level strengths or opportunities for improvement</w:t>
      </w:r>
    </w:p>
    <w:p w14:paraId="4E22F5E7" w14:textId="77777777" w:rsidR="00306BB6" w:rsidRPr="0081565E" w:rsidRDefault="00306BB6" w:rsidP="00306BB6">
      <w:pPr>
        <w:numPr>
          <w:ilvl w:val="0"/>
          <w:numId w:val="1"/>
        </w:numPr>
        <w:contextualSpacing/>
        <w:rPr>
          <w:rFonts w:asciiTheme="majorHAnsi" w:hAnsiTheme="majorHAnsi"/>
          <w:sz w:val="23"/>
          <w:szCs w:val="23"/>
        </w:rPr>
      </w:pPr>
      <w:r w:rsidRPr="0081565E">
        <w:rPr>
          <w:rFonts w:asciiTheme="majorHAnsi" w:hAnsiTheme="majorHAnsi"/>
          <w:sz w:val="23"/>
          <w:szCs w:val="23"/>
        </w:rPr>
        <w:t>are significant in terms of the applicant’s key factors</w:t>
      </w:r>
    </w:p>
    <w:p w14:paraId="2E408B6B" w14:textId="77777777" w:rsidR="00306BB6" w:rsidRPr="0081565E" w:rsidRDefault="00306BB6" w:rsidP="00306BB6">
      <w:pPr>
        <w:numPr>
          <w:ilvl w:val="0"/>
          <w:numId w:val="1"/>
        </w:numPr>
        <w:contextualSpacing/>
        <w:rPr>
          <w:rFonts w:asciiTheme="majorHAnsi" w:hAnsiTheme="majorHAnsi"/>
          <w:sz w:val="23"/>
          <w:szCs w:val="23"/>
        </w:rPr>
      </w:pPr>
      <w:r w:rsidRPr="0081565E">
        <w:rPr>
          <w:rFonts w:asciiTheme="majorHAnsi" w:hAnsiTheme="majorHAnsi"/>
          <w:sz w:val="23"/>
          <w:szCs w:val="23"/>
        </w:rPr>
        <w:t>are often common to more than one item/category (crosscutting) or address an issue of particular significance in one item (often found in a bolded comment)</w:t>
      </w:r>
    </w:p>
    <w:p w14:paraId="7D314768" w14:textId="77777777" w:rsidR="00306BB6" w:rsidRPr="0081565E" w:rsidRDefault="00306BB6" w:rsidP="00306BB6">
      <w:pPr>
        <w:numPr>
          <w:ilvl w:val="0"/>
          <w:numId w:val="1"/>
        </w:numPr>
        <w:contextualSpacing/>
        <w:rPr>
          <w:rFonts w:asciiTheme="majorHAnsi" w:hAnsiTheme="majorHAnsi"/>
          <w:sz w:val="23"/>
          <w:szCs w:val="23"/>
        </w:rPr>
      </w:pPr>
      <w:r w:rsidRPr="0081565E">
        <w:rPr>
          <w:rFonts w:asciiTheme="majorHAnsi" w:hAnsiTheme="majorHAnsi"/>
          <w:sz w:val="23"/>
          <w:szCs w:val="23"/>
        </w:rPr>
        <w:t>must be traceable to comments found in the Consensus Review (CR) Worksheets</w:t>
      </w:r>
    </w:p>
    <w:p w14:paraId="668D622E" w14:textId="77777777" w:rsidR="008A540C" w:rsidRPr="0081565E" w:rsidRDefault="00306BB6" w:rsidP="008A540C">
      <w:pPr>
        <w:numPr>
          <w:ilvl w:val="0"/>
          <w:numId w:val="1"/>
        </w:numPr>
        <w:contextualSpacing/>
        <w:rPr>
          <w:rFonts w:asciiTheme="majorHAnsi" w:hAnsiTheme="majorHAnsi"/>
          <w:sz w:val="23"/>
          <w:szCs w:val="23"/>
        </w:rPr>
      </w:pPr>
      <w:r w:rsidRPr="0081565E">
        <w:rPr>
          <w:rFonts w:asciiTheme="majorHAnsi" w:hAnsiTheme="majorHAnsi"/>
          <w:sz w:val="23"/>
          <w:szCs w:val="23"/>
        </w:rPr>
        <w:t>may be supported by Baldrige core value, if the key theme describes a strength</w:t>
      </w:r>
    </w:p>
    <w:p w14:paraId="58FC7339" w14:textId="77777777" w:rsidR="00202CFC" w:rsidRDefault="00306BB6" w:rsidP="00202CFC">
      <w:pPr>
        <w:numPr>
          <w:ilvl w:val="0"/>
          <w:numId w:val="1"/>
        </w:numPr>
        <w:spacing w:after="0"/>
        <w:ind w:left="418" w:hanging="418"/>
        <w:rPr>
          <w:rFonts w:asciiTheme="majorHAnsi" w:hAnsiTheme="majorHAnsi"/>
          <w:sz w:val="23"/>
          <w:szCs w:val="23"/>
        </w:rPr>
      </w:pPr>
      <w:r w:rsidRPr="0081565E">
        <w:rPr>
          <w:rFonts w:asciiTheme="majorHAnsi" w:hAnsiTheme="majorHAnsi"/>
          <w:sz w:val="23"/>
          <w:szCs w:val="23"/>
        </w:rPr>
        <w:t xml:space="preserve">summarize how well an applicant has addressed the Criteria </w:t>
      </w:r>
      <w:r w:rsidR="00353836">
        <w:rPr>
          <w:rFonts w:asciiTheme="majorHAnsi" w:hAnsiTheme="majorHAnsi"/>
          <w:sz w:val="23"/>
          <w:szCs w:val="23"/>
        </w:rPr>
        <w:t>questions</w:t>
      </w:r>
    </w:p>
    <w:p w14:paraId="67DD3CDA" w14:textId="77777777" w:rsidR="008A540C" w:rsidRPr="0081565E" w:rsidRDefault="00306BB6" w:rsidP="008A540C">
      <w:pPr>
        <w:numPr>
          <w:ilvl w:val="0"/>
          <w:numId w:val="1"/>
        </w:numPr>
        <w:ind w:left="418" w:hanging="418"/>
        <w:rPr>
          <w:rFonts w:asciiTheme="majorHAnsi" w:hAnsiTheme="majorHAnsi"/>
          <w:sz w:val="23"/>
          <w:szCs w:val="23"/>
        </w:rPr>
      </w:pPr>
      <w:r w:rsidRPr="0081565E">
        <w:rPr>
          <w:rFonts w:asciiTheme="majorHAnsi" w:hAnsiTheme="majorHAnsi"/>
          <w:sz w:val="23"/>
          <w:szCs w:val="23"/>
        </w:rPr>
        <w:t>serve as an executive summary</w:t>
      </w:r>
    </w:p>
    <w:p w14:paraId="2D746DA9" w14:textId="77777777" w:rsidR="00306BB6" w:rsidRPr="0081565E" w:rsidRDefault="00306BB6" w:rsidP="00306BB6">
      <w:pPr>
        <w:rPr>
          <w:rFonts w:asciiTheme="majorHAnsi" w:hAnsiTheme="majorHAnsi"/>
          <w:b/>
          <w:sz w:val="24"/>
          <w:szCs w:val="24"/>
        </w:rPr>
      </w:pPr>
      <w:r w:rsidRPr="0081565E">
        <w:rPr>
          <w:rFonts w:asciiTheme="majorHAnsi" w:hAnsiTheme="majorHAnsi"/>
          <w:b/>
          <w:sz w:val="24"/>
          <w:szCs w:val="24"/>
        </w:rPr>
        <w:t>How to Identify Key Themes</w:t>
      </w:r>
    </w:p>
    <w:p w14:paraId="669FA689" w14:textId="77777777" w:rsidR="00306BB6" w:rsidRPr="0081565E" w:rsidRDefault="00306BB6" w:rsidP="00306BB6">
      <w:pPr>
        <w:rPr>
          <w:rFonts w:asciiTheme="majorHAnsi" w:hAnsiTheme="majorHAnsi"/>
          <w:sz w:val="23"/>
          <w:szCs w:val="23"/>
        </w:rPr>
      </w:pPr>
      <w:r w:rsidRPr="0081565E">
        <w:rPr>
          <w:rFonts w:asciiTheme="majorHAnsi" w:hAnsiTheme="majorHAnsi"/>
          <w:sz w:val="23"/>
          <w:szCs w:val="23"/>
        </w:rPr>
        <w:t>For the “a” and “b” key themes, which are related to process items, the evaluation factors—approach, deployment, learning, and integration (ADLI)—are a good starting point. The following questions will help identify the key themes:</w:t>
      </w:r>
    </w:p>
    <w:p w14:paraId="15C4D42D" w14:textId="77777777"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Which approaches are sound and systematic (or not)?</w:t>
      </w:r>
    </w:p>
    <w:p w14:paraId="3B0C863C" w14:textId="144937B6"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 xml:space="preserve">What approaches are well deployed </w:t>
      </w:r>
      <w:r w:rsidR="00AB4379">
        <w:rPr>
          <w:rFonts w:asciiTheme="majorHAnsi" w:hAnsiTheme="majorHAnsi"/>
          <w:sz w:val="23"/>
          <w:szCs w:val="23"/>
        </w:rPr>
        <w:t xml:space="preserve">as appropriate </w:t>
      </w:r>
      <w:r w:rsidRPr="0081565E">
        <w:rPr>
          <w:rFonts w:asciiTheme="majorHAnsi" w:hAnsiTheme="majorHAnsi"/>
          <w:sz w:val="23"/>
          <w:szCs w:val="23"/>
        </w:rPr>
        <w:t>throughout the organization (or not)?</w:t>
      </w:r>
    </w:p>
    <w:p w14:paraId="6A867500" w14:textId="77777777"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Are there areas of strength or opportunity related to organizational learning?</w:t>
      </w:r>
    </w:p>
    <w:p w14:paraId="43436C99" w14:textId="25D6F2F7" w:rsidR="00306BB6" w:rsidRDefault="00306BB6" w:rsidP="00F91CE2">
      <w:pPr>
        <w:numPr>
          <w:ilvl w:val="0"/>
          <w:numId w:val="2"/>
        </w:numPr>
        <w:spacing w:after="0"/>
        <w:rPr>
          <w:rFonts w:asciiTheme="majorHAnsi" w:hAnsiTheme="majorHAnsi"/>
          <w:sz w:val="23"/>
          <w:szCs w:val="23"/>
        </w:rPr>
      </w:pPr>
      <w:r w:rsidRPr="0081565E">
        <w:rPr>
          <w:rFonts w:asciiTheme="majorHAnsi" w:hAnsiTheme="majorHAnsi"/>
          <w:sz w:val="23"/>
          <w:szCs w:val="23"/>
        </w:rPr>
        <w:t>Where is there strong linkage between and among processes? What areas are poorly aligned? In a more mature applicant, what areas exhibit or lack integration?</w:t>
      </w:r>
    </w:p>
    <w:p w14:paraId="4233BAD5" w14:textId="396CE7AE" w:rsidR="00AB4379" w:rsidRPr="0081565E" w:rsidRDefault="00AB4379" w:rsidP="008A540C">
      <w:pPr>
        <w:numPr>
          <w:ilvl w:val="0"/>
          <w:numId w:val="2"/>
        </w:numPr>
        <w:rPr>
          <w:rFonts w:asciiTheme="majorHAnsi" w:hAnsiTheme="majorHAnsi"/>
          <w:sz w:val="23"/>
          <w:szCs w:val="23"/>
        </w:rPr>
      </w:pPr>
      <w:r w:rsidRPr="0081565E">
        <w:rPr>
          <w:rFonts w:asciiTheme="majorHAnsi" w:hAnsiTheme="majorHAnsi"/>
          <w:sz w:val="23"/>
          <w:szCs w:val="23"/>
        </w:rPr>
        <w:t>Do you see any role-model</w:t>
      </w:r>
      <w:r>
        <w:rPr>
          <w:rFonts w:asciiTheme="majorHAnsi" w:hAnsiTheme="majorHAnsi"/>
          <w:sz w:val="23"/>
          <w:szCs w:val="23"/>
        </w:rPr>
        <w:t xml:space="preserve"> processes?</w:t>
      </w:r>
    </w:p>
    <w:p w14:paraId="0CA9FD21" w14:textId="77777777" w:rsidR="00306BB6" w:rsidRPr="0081565E" w:rsidRDefault="00306BB6" w:rsidP="00306BB6">
      <w:pPr>
        <w:rPr>
          <w:rFonts w:asciiTheme="majorHAnsi" w:hAnsiTheme="majorHAnsi"/>
          <w:sz w:val="23"/>
          <w:szCs w:val="23"/>
        </w:rPr>
      </w:pPr>
      <w:r w:rsidRPr="0081565E">
        <w:rPr>
          <w:rFonts w:asciiTheme="majorHAnsi" w:hAnsiTheme="majorHAnsi"/>
          <w:sz w:val="23"/>
          <w:szCs w:val="23"/>
        </w:rPr>
        <w:t>For the “c” and “d” key themes, which are related to results items, the following questions related to the results evaluation factors—levels, trends, comparisons, and integration (LeTCI)—are a good starting point for determining commonality or themes.</w:t>
      </w:r>
    </w:p>
    <w:p w14:paraId="7060A2C4" w14:textId="77777777"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Are results trending consistently either up or down? If results are tracked over time, are good or excellent performance levels sustained?</w:t>
      </w:r>
    </w:p>
    <w:p w14:paraId="465139DB" w14:textId="77777777"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How do results compare to those of competitors or other organizations with similar offerings? Are adequate comparisons provided?</w:t>
      </w:r>
    </w:p>
    <w:p w14:paraId="35255BC1" w14:textId="77777777" w:rsidR="00306BB6" w:rsidRPr="0081565E" w:rsidRDefault="00306BB6" w:rsidP="008A540C">
      <w:pPr>
        <w:numPr>
          <w:ilvl w:val="0"/>
          <w:numId w:val="2"/>
        </w:numPr>
        <w:spacing w:after="0"/>
        <w:rPr>
          <w:rFonts w:asciiTheme="majorHAnsi" w:hAnsiTheme="majorHAnsi"/>
          <w:sz w:val="23"/>
          <w:szCs w:val="23"/>
        </w:rPr>
      </w:pPr>
      <w:r w:rsidRPr="0081565E">
        <w:rPr>
          <w:rFonts w:asciiTheme="majorHAnsi" w:hAnsiTheme="majorHAnsi"/>
          <w:sz w:val="23"/>
          <w:szCs w:val="23"/>
        </w:rPr>
        <w:t>To what extent are results segmented to reflect important customer, product and service, market, process, and action plan performance requirements identified in the Organizational Profile and in process items?</w:t>
      </w:r>
    </w:p>
    <w:p w14:paraId="753DC2BE" w14:textId="2F5A1080" w:rsidR="00306BB6" w:rsidRPr="0081565E" w:rsidRDefault="00306BB6" w:rsidP="008A540C">
      <w:pPr>
        <w:numPr>
          <w:ilvl w:val="0"/>
          <w:numId w:val="2"/>
        </w:numPr>
        <w:rPr>
          <w:rFonts w:asciiTheme="majorHAnsi" w:hAnsiTheme="majorHAnsi"/>
          <w:sz w:val="23"/>
          <w:szCs w:val="23"/>
        </w:rPr>
      </w:pPr>
      <w:bookmarkStart w:id="1" w:name="_Hlk37252317"/>
      <w:r w:rsidRPr="0081565E">
        <w:rPr>
          <w:rFonts w:asciiTheme="majorHAnsi" w:hAnsiTheme="majorHAnsi"/>
          <w:sz w:val="23"/>
          <w:szCs w:val="23"/>
        </w:rPr>
        <w:t xml:space="preserve">Do you see any role-model </w:t>
      </w:r>
      <w:bookmarkEnd w:id="1"/>
      <w:r w:rsidRPr="0081565E">
        <w:rPr>
          <w:rFonts w:asciiTheme="majorHAnsi" w:hAnsiTheme="majorHAnsi"/>
          <w:sz w:val="23"/>
          <w:szCs w:val="23"/>
        </w:rPr>
        <w:t>results?</w:t>
      </w:r>
    </w:p>
    <w:p w14:paraId="5D64E5BD" w14:textId="77777777" w:rsidR="00306BB6" w:rsidRPr="0081565E" w:rsidRDefault="00306BB6" w:rsidP="00306BB6">
      <w:pPr>
        <w:rPr>
          <w:rFonts w:asciiTheme="majorHAnsi" w:hAnsiTheme="majorHAnsi"/>
          <w:sz w:val="23"/>
          <w:szCs w:val="23"/>
        </w:rPr>
      </w:pPr>
      <w:r w:rsidRPr="0081565E">
        <w:rPr>
          <w:rFonts w:asciiTheme="majorHAnsi" w:hAnsiTheme="majorHAnsi"/>
          <w:sz w:val="23"/>
          <w:szCs w:val="23"/>
        </w:rPr>
        <w:t xml:space="preserve">Core values </w:t>
      </w:r>
      <w:r w:rsidR="00476FB4">
        <w:rPr>
          <w:rFonts w:asciiTheme="majorHAnsi" w:hAnsiTheme="majorHAnsi"/>
          <w:sz w:val="23"/>
          <w:szCs w:val="23"/>
        </w:rPr>
        <w:t>may also</w:t>
      </w:r>
      <w:r w:rsidRPr="0081565E">
        <w:rPr>
          <w:rFonts w:asciiTheme="majorHAnsi" w:hAnsiTheme="majorHAnsi"/>
          <w:sz w:val="23"/>
          <w:szCs w:val="23"/>
        </w:rPr>
        <w:t xml:space="preserve"> serve as a source for strength key themes when examples can be identified from item comments.</w:t>
      </w:r>
    </w:p>
    <w:p w14:paraId="02CE611A" w14:textId="77777777" w:rsidR="00306BB6" w:rsidRPr="0081565E" w:rsidRDefault="00306BB6" w:rsidP="0098457E">
      <w:pPr>
        <w:pStyle w:val="ListParagraph"/>
        <w:numPr>
          <w:ilvl w:val="0"/>
          <w:numId w:val="3"/>
        </w:numPr>
        <w:rPr>
          <w:rFonts w:asciiTheme="majorHAnsi" w:hAnsiTheme="majorHAnsi"/>
          <w:sz w:val="23"/>
          <w:szCs w:val="23"/>
        </w:rPr>
      </w:pPr>
      <w:r w:rsidRPr="0081565E">
        <w:rPr>
          <w:rFonts w:asciiTheme="majorHAnsi" w:hAnsiTheme="majorHAnsi"/>
          <w:sz w:val="23"/>
          <w:szCs w:val="23"/>
        </w:rPr>
        <w:lastRenderedPageBreak/>
        <w:t>Are core values for the sector (e.g., visionary leadership, management by fact) reflected in the item comments?</w:t>
      </w:r>
    </w:p>
    <w:p w14:paraId="426FC2F7" w14:textId="77777777" w:rsidR="00D1004E" w:rsidRPr="0081565E" w:rsidRDefault="00D1004E" w:rsidP="0081565E">
      <w:pPr>
        <w:ind w:left="90"/>
        <w:rPr>
          <w:rFonts w:asciiTheme="majorHAnsi" w:hAnsiTheme="majorHAnsi"/>
          <w:b/>
          <w:sz w:val="24"/>
          <w:szCs w:val="24"/>
        </w:rPr>
      </w:pPr>
      <w:r w:rsidRPr="0081565E">
        <w:rPr>
          <w:rFonts w:asciiTheme="majorHAnsi" w:hAnsiTheme="majorHAnsi"/>
          <w:b/>
          <w:sz w:val="24"/>
          <w:szCs w:val="24"/>
        </w:rPr>
        <w:t>Correct Key Theme</w:t>
      </w:r>
      <w:r w:rsidR="0081565E">
        <w:rPr>
          <w:rFonts w:asciiTheme="majorHAnsi" w:hAnsiTheme="majorHAnsi"/>
          <w:sz w:val="24"/>
          <w:szCs w:val="24"/>
        </w:rPr>
        <w:tab/>
      </w:r>
    </w:p>
    <w:p w14:paraId="54975121" w14:textId="77777777" w:rsidR="00D1004E" w:rsidRPr="0081565E" w:rsidRDefault="00D1004E" w:rsidP="00D1004E">
      <w:pPr>
        <w:ind w:left="90"/>
        <w:rPr>
          <w:rFonts w:asciiTheme="majorHAnsi" w:hAnsiTheme="majorHAnsi"/>
          <w:sz w:val="23"/>
          <w:szCs w:val="23"/>
        </w:rPr>
      </w:pPr>
      <w:r w:rsidRPr="0081565E">
        <w:rPr>
          <w:rFonts w:asciiTheme="majorHAnsi" w:hAnsiTheme="majorHAnsi"/>
          <w:sz w:val="23"/>
          <w:szCs w:val="23"/>
        </w:rPr>
        <w:t>The applicant’s well-executed approach to organizational learning supports its cultural focus on identifying problems, innovating solutions, and improving performance results. Approaches that are important to organizational success are continuously improved. For example, improvements resulting from the annual evaluation of the SPP include the revision of planning horizons, the introduction of the Strategic Alignment Document, and the formation of the MIG. Other examples are the Product and Service Offering Process, the VOC Process, workforce engagement and communication processes, and approaches used to improve work processes.</w:t>
      </w:r>
    </w:p>
    <w:p w14:paraId="4C102FD6" w14:textId="77777777" w:rsidR="00D1004E" w:rsidRPr="0081565E" w:rsidRDefault="00D1004E" w:rsidP="0046284D">
      <w:pPr>
        <w:spacing w:after="120"/>
        <w:ind w:left="86"/>
        <w:rPr>
          <w:rFonts w:asciiTheme="majorHAnsi" w:hAnsiTheme="majorHAnsi"/>
          <w:sz w:val="23"/>
          <w:szCs w:val="23"/>
        </w:rPr>
      </w:pPr>
      <w:r w:rsidRPr="0081565E">
        <w:rPr>
          <w:rFonts w:asciiTheme="majorHAnsi" w:hAnsiTheme="majorHAnsi"/>
          <w:i/>
          <w:sz w:val="23"/>
          <w:szCs w:val="23"/>
        </w:rPr>
        <w:t>This is a key theme because it</w:t>
      </w:r>
    </w:p>
    <w:p w14:paraId="2407FE35" w14:textId="77777777" w:rsidR="00D1004E" w:rsidRPr="0081565E" w:rsidRDefault="00D1004E" w:rsidP="00D1004E">
      <w:pPr>
        <w:numPr>
          <w:ilvl w:val="0"/>
          <w:numId w:val="4"/>
        </w:numPr>
        <w:spacing w:after="0"/>
        <w:rPr>
          <w:rFonts w:asciiTheme="majorHAnsi" w:hAnsiTheme="majorHAnsi"/>
          <w:sz w:val="23"/>
          <w:szCs w:val="23"/>
        </w:rPr>
      </w:pPr>
      <w:r w:rsidRPr="0081565E">
        <w:rPr>
          <w:rFonts w:asciiTheme="majorHAnsi" w:hAnsiTheme="majorHAnsi"/>
          <w:i/>
          <w:sz w:val="23"/>
          <w:szCs w:val="23"/>
        </w:rPr>
        <w:t>goes beyond one area to address, item, or category</w:t>
      </w:r>
    </w:p>
    <w:p w14:paraId="61B00C72" w14:textId="77777777" w:rsidR="00D1004E" w:rsidRPr="0081565E" w:rsidRDefault="00D1004E" w:rsidP="00D1004E">
      <w:pPr>
        <w:numPr>
          <w:ilvl w:val="0"/>
          <w:numId w:val="4"/>
        </w:numPr>
        <w:spacing w:after="0"/>
        <w:rPr>
          <w:rFonts w:asciiTheme="majorHAnsi" w:hAnsiTheme="majorHAnsi"/>
          <w:sz w:val="23"/>
          <w:szCs w:val="23"/>
        </w:rPr>
      </w:pPr>
      <w:r w:rsidRPr="0081565E">
        <w:rPr>
          <w:rFonts w:asciiTheme="majorHAnsi" w:hAnsiTheme="majorHAnsi"/>
          <w:i/>
          <w:sz w:val="23"/>
          <w:szCs w:val="23"/>
        </w:rPr>
        <w:t>describes various systematic processes that are important to the organization’s performance and linked to the organization’s key factors</w:t>
      </w:r>
    </w:p>
    <w:p w14:paraId="39DA5F69" w14:textId="77777777" w:rsidR="00D1004E" w:rsidRPr="0081565E" w:rsidRDefault="00D1004E" w:rsidP="00D1004E">
      <w:pPr>
        <w:numPr>
          <w:ilvl w:val="0"/>
          <w:numId w:val="4"/>
        </w:numPr>
        <w:rPr>
          <w:rFonts w:asciiTheme="majorHAnsi" w:hAnsiTheme="majorHAnsi"/>
          <w:sz w:val="23"/>
          <w:szCs w:val="23"/>
        </w:rPr>
      </w:pPr>
      <w:r w:rsidRPr="0081565E">
        <w:rPr>
          <w:rFonts w:asciiTheme="majorHAnsi" w:hAnsiTheme="majorHAnsi"/>
          <w:i/>
          <w:sz w:val="23"/>
          <w:szCs w:val="23"/>
        </w:rPr>
        <w:t>is integrated (in harmony across the organization)</w:t>
      </w:r>
    </w:p>
    <w:p w14:paraId="098B0B80" w14:textId="77777777" w:rsidR="00D1004E" w:rsidRPr="0081565E" w:rsidRDefault="00D1004E" w:rsidP="00D1004E">
      <w:pPr>
        <w:rPr>
          <w:rFonts w:asciiTheme="majorHAnsi" w:hAnsiTheme="majorHAnsi"/>
          <w:b/>
          <w:sz w:val="24"/>
          <w:szCs w:val="24"/>
        </w:rPr>
      </w:pPr>
      <w:r w:rsidRPr="0081565E">
        <w:rPr>
          <w:rFonts w:asciiTheme="majorHAnsi" w:hAnsiTheme="majorHAnsi"/>
          <w:b/>
          <w:sz w:val="24"/>
          <w:szCs w:val="24"/>
        </w:rPr>
        <w:t>Incorrect Key Theme</w:t>
      </w:r>
    </w:p>
    <w:p w14:paraId="3644E480" w14:textId="77777777" w:rsidR="00D1004E" w:rsidRPr="0081565E" w:rsidRDefault="00D1004E" w:rsidP="00D1004E">
      <w:pPr>
        <w:rPr>
          <w:rFonts w:asciiTheme="majorHAnsi" w:hAnsiTheme="majorHAnsi"/>
          <w:sz w:val="23"/>
          <w:szCs w:val="23"/>
        </w:rPr>
      </w:pPr>
      <w:r w:rsidRPr="0081565E">
        <w:rPr>
          <w:rFonts w:asciiTheme="majorHAnsi" w:hAnsiTheme="majorHAnsi"/>
          <w:sz w:val="23"/>
          <w:szCs w:val="23"/>
        </w:rPr>
        <w:t>It is not clear how the applicant supports rapid execution of new action plans after they are identified, assigned to a manager, and approved. This may limit the applicant in addressing its need to respond quickly to a changing funding and regulatory environment.</w:t>
      </w:r>
    </w:p>
    <w:p w14:paraId="0BFEC26B" w14:textId="77777777" w:rsidR="00490CA7" w:rsidRPr="0081565E" w:rsidRDefault="00490CA7" w:rsidP="00D1004E">
      <w:pPr>
        <w:rPr>
          <w:rFonts w:asciiTheme="majorHAnsi" w:hAnsiTheme="majorHAnsi"/>
          <w:i/>
          <w:sz w:val="23"/>
          <w:szCs w:val="23"/>
        </w:rPr>
      </w:pPr>
      <w:r w:rsidRPr="0081565E">
        <w:rPr>
          <w:rFonts w:asciiTheme="majorHAnsi" w:hAnsiTheme="majorHAnsi"/>
          <w:i/>
          <w:iCs/>
          <w:sz w:val="23"/>
          <w:szCs w:val="23"/>
        </w:rPr>
        <w:t xml:space="preserve">This is not a key theme because, although it may be important to the applicant’s agility, it articulates only one of the multiple </w:t>
      </w:r>
      <w:r w:rsidR="004F0887">
        <w:rPr>
          <w:rFonts w:asciiTheme="majorHAnsi" w:hAnsiTheme="majorHAnsi"/>
          <w:i/>
          <w:iCs/>
          <w:sz w:val="23"/>
          <w:szCs w:val="23"/>
        </w:rPr>
        <w:t>questions</w:t>
      </w:r>
      <w:r w:rsidR="004F0887" w:rsidRPr="0081565E">
        <w:rPr>
          <w:rFonts w:asciiTheme="majorHAnsi" w:hAnsiTheme="majorHAnsi"/>
          <w:i/>
          <w:iCs/>
          <w:sz w:val="23"/>
          <w:szCs w:val="23"/>
        </w:rPr>
        <w:t xml:space="preserve"> </w:t>
      </w:r>
      <w:r w:rsidRPr="0081565E">
        <w:rPr>
          <w:rFonts w:asciiTheme="majorHAnsi" w:hAnsiTheme="majorHAnsi"/>
          <w:i/>
          <w:iCs/>
          <w:sz w:val="23"/>
          <w:szCs w:val="23"/>
        </w:rPr>
        <w:t>of item 2.2. The only instance that an item-level comment might rise to the level of a key theme would be if the examiner team agrees that the OFI is a fatal flaw for the organization, driving the score in an area of key strategic importance for the organization; in such a case, the OFI would be bolded in the item [as indicated by double minus signs</w:t>
      </w:r>
      <w:r w:rsidR="00CB1F94">
        <w:rPr>
          <w:rFonts w:asciiTheme="majorHAnsi" w:hAnsiTheme="majorHAnsi"/>
          <w:i/>
          <w:iCs/>
          <w:sz w:val="23"/>
          <w:szCs w:val="23"/>
        </w:rPr>
        <w:t xml:space="preserve"> (--)</w:t>
      </w:r>
      <w:r w:rsidRPr="0081565E">
        <w:rPr>
          <w:rFonts w:asciiTheme="majorHAnsi" w:hAnsiTheme="majorHAnsi"/>
          <w:i/>
          <w:iCs/>
          <w:sz w:val="23"/>
          <w:szCs w:val="23"/>
        </w:rPr>
        <w:t xml:space="preserve"> in BOSS] to signal its significance for the applicant.</w:t>
      </w:r>
    </w:p>
    <w:p w14:paraId="47753406" w14:textId="77777777" w:rsidR="00D1004E" w:rsidRPr="0081565E" w:rsidRDefault="00D1004E" w:rsidP="00D1004E">
      <w:pPr>
        <w:rPr>
          <w:rFonts w:asciiTheme="majorHAnsi" w:hAnsiTheme="majorHAnsi"/>
          <w:b/>
          <w:sz w:val="24"/>
          <w:szCs w:val="24"/>
        </w:rPr>
      </w:pPr>
      <w:r w:rsidRPr="0081565E">
        <w:rPr>
          <w:rFonts w:asciiTheme="majorHAnsi" w:hAnsiTheme="majorHAnsi"/>
          <w:b/>
          <w:sz w:val="24"/>
          <w:szCs w:val="24"/>
        </w:rPr>
        <w:t>Key Themes Worksheet Guidelines</w:t>
      </w:r>
    </w:p>
    <w:p w14:paraId="7659AA03" w14:textId="77777777" w:rsidR="00D1004E" w:rsidRPr="0081565E" w:rsidRDefault="00D1004E" w:rsidP="00D1004E">
      <w:pPr>
        <w:numPr>
          <w:ilvl w:val="0"/>
          <w:numId w:val="5"/>
        </w:numPr>
        <w:spacing w:after="0"/>
        <w:rPr>
          <w:rFonts w:asciiTheme="majorHAnsi" w:hAnsiTheme="majorHAnsi"/>
          <w:sz w:val="23"/>
          <w:szCs w:val="23"/>
        </w:rPr>
      </w:pPr>
      <w:r w:rsidRPr="0081565E">
        <w:rPr>
          <w:rFonts w:asciiTheme="majorHAnsi" w:hAnsiTheme="majorHAnsi"/>
          <w:sz w:val="23"/>
          <w:szCs w:val="23"/>
        </w:rPr>
        <w:t>Write complete sentences that adhere to the Comment Guidelines, beginning with a summary (i.e., topic) sentence that provides the “nugget” of feedback.</w:t>
      </w:r>
    </w:p>
    <w:p w14:paraId="68DC1B24" w14:textId="77777777" w:rsidR="00D1004E" w:rsidRPr="0081565E" w:rsidRDefault="00D1004E" w:rsidP="00D1004E">
      <w:pPr>
        <w:numPr>
          <w:ilvl w:val="0"/>
          <w:numId w:val="5"/>
        </w:numPr>
        <w:spacing w:after="0"/>
        <w:rPr>
          <w:rFonts w:asciiTheme="majorHAnsi" w:hAnsiTheme="majorHAnsi"/>
          <w:sz w:val="23"/>
          <w:szCs w:val="23"/>
        </w:rPr>
      </w:pPr>
      <w:r w:rsidRPr="0081565E">
        <w:rPr>
          <w:rFonts w:asciiTheme="majorHAnsi" w:hAnsiTheme="majorHAnsi"/>
          <w:sz w:val="23"/>
          <w:szCs w:val="23"/>
        </w:rPr>
        <w:t>Include a few examples as evidence to add clarity and value for the applicant, without parroting the application. Avoid telling the applicant what it already knows (e.g., data from figures and steps included in processes).</w:t>
      </w:r>
    </w:p>
    <w:p w14:paraId="5F0A1D33" w14:textId="77777777" w:rsidR="00D1004E" w:rsidRPr="0081565E" w:rsidRDefault="00D1004E" w:rsidP="00956A9C">
      <w:pPr>
        <w:pStyle w:val="ListParagraph"/>
        <w:numPr>
          <w:ilvl w:val="0"/>
          <w:numId w:val="5"/>
        </w:numPr>
        <w:rPr>
          <w:rFonts w:asciiTheme="majorHAnsi" w:hAnsiTheme="majorHAnsi"/>
          <w:sz w:val="23"/>
          <w:szCs w:val="23"/>
        </w:rPr>
      </w:pPr>
      <w:r w:rsidRPr="0081565E">
        <w:rPr>
          <w:rFonts w:asciiTheme="majorHAnsi" w:hAnsiTheme="majorHAnsi"/>
          <w:sz w:val="23"/>
          <w:szCs w:val="23"/>
        </w:rPr>
        <w:t xml:space="preserve">Do not anchor b and d key themes (opportunities for improvement) in a Baldrige core value, as this may imply an evaluation against the core value. Instead, anchor these key themes in the Criteria </w:t>
      </w:r>
      <w:r w:rsidR="0091475F">
        <w:rPr>
          <w:rFonts w:asciiTheme="majorHAnsi" w:hAnsiTheme="majorHAnsi"/>
          <w:sz w:val="23"/>
          <w:szCs w:val="23"/>
        </w:rPr>
        <w:t xml:space="preserve">questions </w:t>
      </w:r>
      <w:r w:rsidRPr="0081565E">
        <w:rPr>
          <w:rFonts w:asciiTheme="majorHAnsi" w:hAnsiTheme="majorHAnsi"/>
          <w:sz w:val="23"/>
          <w:szCs w:val="23"/>
        </w:rPr>
        <w:t>and scoring guidelines.</w:t>
      </w:r>
    </w:p>
    <w:p w14:paraId="220F27AA" w14:textId="77777777" w:rsidR="00956A9C" w:rsidRPr="0081565E" w:rsidRDefault="00956A9C" w:rsidP="00956A9C">
      <w:pPr>
        <w:rPr>
          <w:rFonts w:asciiTheme="majorHAnsi" w:hAnsiTheme="majorHAnsi"/>
          <w:b/>
          <w:sz w:val="24"/>
          <w:szCs w:val="24"/>
        </w:rPr>
      </w:pPr>
      <w:r w:rsidRPr="0081565E">
        <w:rPr>
          <w:rFonts w:asciiTheme="majorHAnsi" w:hAnsiTheme="majorHAnsi"/>
          <w:b/>
          <w:sz w:val="24"/>
          <w:szCs w:val="24"/>
        </w:rPr>
        <w:t>Criteria for Writing Excellent Key Themes</w:t>
      </w:r>
    </w:p>
    <w:p w14:paraId="3A715B15"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Must conform to the Comment Guidelines, including the NER component</w:t>
      </w:r>
    </w:p>
    <w:p w14:paraId="29C0028E"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Must be simple and impactful</w:t>
      </w:r>
    </w:p>
    <w:p w14:paraId="462ED7D4"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Should be strategic in nature, either addressing cross-cutting issues, critical KFs, or ADLI/LeTCI themes</w:t>
      </w:r>
    </w:p>
    <w:p w14:paraId="0E1ABC7B"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No Baldrige-ese</w:t>
      </w:r>
    </w:p>
    <w:p w14:paraId="32BD73B5"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lastRenderedPageBreak/>
        <w:t xml:space="preserve">Should reflect and maybe even incorporate appropriate scoring language. For OFIs, that would mean scoring language at the next higher scoring range </w:t>
      </w:r>
    </w:p>
    <w:p w14:paraId="290CA2FF"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Must be traceable to comments in the CR Worksheets</w:t>
      </w:r>
    </w:p>
    <w:p w14:paraId="64D5EBF9" w14:textId="77777777" w:rsidR="00956A9C" w:rsidRPr="0081565E" w:rsidRDefault="00956A9C" w:rsidP="00956A9C">
      <w:pPr>
        <w:pStyle w:val="ListParagraph"/>
        <w:numPr>
          <w:ilvl w:val="0"/>
          <w:numId w:val="6"/>
        </w:numPr>
        <w:rPr>
          <w:rFonts w:asciiTheme="majorHAnsi" w:hAnsiTheme="majorHAnsi"/>
          <w:sz w:val="23"/>
          <w:szCs w:val="23"/>
        </w:rPr>
      </w:pPr>
      <w:r w:rsidRPr="0081565E">
        <w:rPr>
          <w:rFonts w:asciiTheme="majorHAnsi" w:hAnsiTheme="majorHAnsi"/>
          <w:sz w:val="23"/>
          <w:szCs w:val="23"/>
        </w:rPr>
        <w:t>Don’t conflict with each other or with comments in the worksheets</w:t>
      </w:r>
    </w:p>
    <w:p w14:paraId="7DCA9967" w14:textId="77777777" w:rsidR="00306BB6" w:rsidRPr="007D72D3" w:rsidRDefault="00956A9C" w:rsidP="00306BB6">
      <w:pPr>
        <w:pStyle w:val="ListParagraph"/>
        <w:numPr>
          <w:ilvl w:val="0"/>
          <w:numId w:val="6"/>
        </w:numPr>
        <w:rPr>
          <w:rFonts w:asciiTheme="majorHAnsi" w:hAnsiTheme="majorHAnsi"/>
          <w:sz w:val="23"/>
          <w:szCs w:val="23"/>
        </w:rPr>
      </w:pPr>
      <w:r w:rsidRPr="007D72D3">
        <w:rPr>
          <w:rFonts w:asciiTheme="majorHAnsi" w:hAnsiTheme="majorHAnsi"/>
          <w:sz w:val="23"/>
          <w:szCs w:val="23"/>
        </w:rPr>
        <w:t xml:space="preserve">Should somehow indicate what must be done </w:t>
      </w:r>
      <w:r w:rsidR="00FE57F5" w:rsidRPr="007D72D3">
        <w:rPr>
          <w:rFonts w:asciiTheme="majorHAnsi" w:hAnsiTheme="majorHAnsi"/>
          <w:sz w:val="23"/>
          <w:szCs w:val="23"/>
        </w:rPr>
        <w:t>to remain competitive and to ensure long-term sustainability</w:t>
      </w:r>
    </w:p>
    <w:p w14:paraId="606BFE79" w14:textId="77777777" w:rsidR="00306BB6" w:rsidRPr="0081565E" w:rsidRDefault="00306BB6" w:rsidP="00306BB6">
      <w:pPr>
        <w:rPr>
          <w:rFonts w:asciiTheme="majorHAnsi" w:hAnsiTheme="majorHAnsi"/>
          <w:sz w:val="24"/>
          <w:szCs w:val="24"/>
        </w:rPr>
      </w:pPr>
    </w:p>
    <w:sectPr w:rsidR="00306BB6" w:rsidRPr="0081565E" w:rsidSect="00A47DA1">
      <w:headerReference w:type="even" r:id="rId7"/>
      <w:headerReference w:type="default" r:id="rId8"/>
      <w:footerReference w:type="even" r:id="rId9"/>
      <w:footerReference w:type="default" r:id="rId10"/>
      <w:headerReference w:type="first" r:id="rId11"/>
      <w:footerReference w:type="first" r:id="rId12"/>
      <w:pgSz w:w="12240" w:h="15840"/>
      <w:pgMar w:top="720" w:right="1152" w:bottom="864" w:left="115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1A1C4" w14:textId="77777777" w:rsidR="009A6DCE" w:rsidRDefault="009A6DCE" w:rsidP="0081565E">
      <w:pPr>
        <w:spacing w:after="0" w:line="240" w:lineRule="auto"/>
      </w:pPr>
      <w:r>
        <w:separator/>
      </w:r>
    </w:p>
  </w:endnote>
  <w:endnote w:type="continuationSeparator" w:id="0">
    <w:p w14:paraId="78E3B3D9" w14:textId="77777777" w:rsidR="009A6DCE" w:rsidRDefault="009A6DCE" w:rsidP="00815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DE2" w14:textId="77777777" w:rsidR="008E1F88" w:rsidRDefault="008E1F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8414" w14:textId="77777777" w:rsidR="008E1F88" w:rsidRPr="008E1F88" w:rsidRDefault="008E1F88">
    <w:pPr>
      <w:pStyle w:val="Footer"/>
      <w:jc w:val="center"/>
      <w:rPr>
        <w:sz w:val="20"/>
        <w:szCs w:val="20"/>
      </w:rPr>
    </w:pPr>
    <w:r w:rsidRPr="008E1F88">
      <w:rPr>
        <w:sz w:val="20"/>
        <w:szCs w:val="20"/>
      </w:rPr>
      <w:t xml:space="preserve">Page </w:t>
    </w:r>
    <w:r w:rsidRPr="008E1F88">
      <w:rPr>
        <w:sz w:val="20"/>
        <w:szCs w:val="20"/>
      </w:rPr>
      <w:fldChar w:fldCharType="begin"/>
    </w:r>
    <w:r w:rsidRPr="008E1F88">
      <w:rPr>
        <w:sz w:val="20"/>
        <w:szCs w:val="20"/>
      </w:rPr>
      <w:instrText xml:space="preserve"> PAGE  \* Arabic  \* MERGEFORMAT </w:instrText>
    </w:r>
    <w:r w:rsidRPr="008E1F88">
      <w:rPr>
        <w:sz w:val="20"/>
        <w:szCs w:val="20"/>
      </w:rPr>
      <w:fldChar w:fldCharType="separate"/>
    </w:r>
    <w:r w:rsidRPr="008E1F88">
      <w:rPr>
        <w:noProof/>
        <w:sz w:val="20"/>
        <w:szCs w:val="20"/>
      </w:rPr>
      <w:t>2</w:t>
    </w:r>
    <w:r w:rsidRPr="008E1F88">
      <w:rPr>
        <w:sz w:val="20"/>
        <w:szCs w:val="20"/>
      </w:rPr>
      <w:fldChar w:fldCharType="end"/>
    </w:r>
    <w:r w:rsidRPr="008E1F88">
      <w:rPr>
        <w:sz w:val="20"/>
        <w:szCs w:val="20"/>
      </w:rPr>
      <w:t xml:space="preserve"> of </w:t>
    </w:r>
    <w:r w:rsidRPr="008E1F88">
      <w:rPr>
        <w:sz w:val="20"/>
        <w:szCs w:val="20"/>
      </w:rPr>
      <w:fldChar w:fldCharType="begin"/>
    </w:r>
    <w:r w:rsidRPr="008E1F88">
      <w:rPr>
        <w:sz w:val="20"/>
        <w:szCs w:val="20"/>
      </w:rPr>
      <w:instrText xml:space="preserve"> NUMPAGES  \* Arabic  \* MERGEFORMAT </w:instrText>
    </w:r>
    <w:r w:rsidRPr="008E1F88">
      <w:rPr>
        <w:sz w:val="20"/>
        <w:szCs w:val="20"/>
      </w:rPr>
      <w:fldChar w:fldCharType="separate"/>
    </w:r>
    <w:r w:rsidRPr="008E1F88">
      <w:rPr>
        <w:noProof/>
        <w:sz w:val="20"/>
        <w:szCs w:val="20"/>
      </w:rPr>
      <w:t>2</w:t>
    </w:r>
    <w:r w:rsidRPr="008E1F88">
      <w:rPr>
        <w:sz w:val="20"/>
        <w:szCs w:val="20"/>
      </w:rPr>
      <w:fldChar w:fldCharType="end"/>
    </w:r>
  </w:p>
  <w:p w14:paraId="7260E442" w14:textId="77777777" w:rsidR="0081565E" w:rsidRDefault="00815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B8947" w14:textId="77777777" w:rsidR="008E1F88" w:rsidRDefault="008E1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57DDF" w14:textId="77777777" w:rsidR="009A6DCE" w:rsidRDefault="009A6DCE" w:rsidP="0081565E">
      <w:pPr>
        <w:spacing w:after="0" w:line="240" w:lineRule="auto"/>
      </w:pPr>
      <w:r>
        <w:separator/>
      </w:r>
    </w:p>
  </w:footnote>
  <w:footnote w:type="continuationSeparator" w:id="0">
    <w:p w14:paraId="0B8619C0" w14:textId="77777777" w:rsidR="009A6DCE" w:rsidRDefault="009A6DCE" w:rsidP="008156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1B555" w14:textId="77777777" w:rsidR="008E1F88" w:rsidRDefault="008E1F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2AF7" w14:textId="77777777" w:rsidR="008E1F88" w:rsidRDefault="008E1F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91E5D" w14:textId="77777777" w:rsidR="008E1F88" w:rsidRDefault="008E1F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B6A86"/>
    <w:multiLevelType w:val="hybridMultilevel"/>
    <w:tmpl w:val="BCD60970"/>
    <w:lvl w:ilvl="0" w:tplc="440CD15E">
      <w:start w:val="1"/>
      <w:numFmt w:val="bullet"/>
      <w:lvlText w:val=""/>
      <w:lvlJc w:val="left"/>
      <w:pPr>
        <w:ind w:left="459" w:hanging="360"/>
      </w:pPr>
      <w:rPr>
        <w:rFonts w:ascii="Symbol" w:eastAsia="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376E0"/>
    <w:multiLevelType w:val="hybridMultilevel"/>
    <w:tmpl w:val="A4EEB432"/>
    <w:lvl w:ilvl="0" w:tplc="8B64014E">
      <w:start w:val="1"/>
      <w:numFmt w:val="bullet"/>
      <w:lvlText w:val=""/>
      <w:lvlJc w:val="left"/>
      <w:pPr>
        <w:ind w:left="423" w:hanging="423"/>
      </w:pPr>
      <w:rPr>
        <w:rFonts w:ascii="Symbol" w:eastAsia="Symbol" w:hAnsi="Symbol" w:hint="default"/>
        <w:sz w:val="24"/>
        <w:szCs w:val="24"/>
      </w:rPr>
    </w:lvl>
    <w:lvl w:ilvl="1" w:tplc="63F66E96">
      <w:start w:val="1"/>
      <w:numFmt w:val="bullet"/>
      <w:lvlText w:val="•"/>
      <w:lvlJc w:val="left"/>
      <w:pPr>
        <w:ind w:left="1593" w:hanging="423"/>
      </w:pPr>
      <w:rPr>
        <w:rFonts w:hint="default"/>
      </w:rPr>
    </w:lvl>
    <w:lvl w:ilvl="2" w:tplc="D9C4E716">
      <w:start w:val="1"/>
      <w:numFmt w:val="bullet"/>
      <w:lvlText w:val="•"/>
      <w:lvlJc w:val="left"/>
      <w:pPr>
        <w:ind w:left="2403" w:hanging="423"/>
      </w:pPr>
      <w:rPr>
        <w:rFonts w:hint="default"/>
      </w:rPr>
    </w:lvl>
    <w:lvl w:ilvl="3" w:tplc="CB003A68">
      <w:start w:val="1"/>
      <w:numFmt w:val="bullet"/>
      <w:lvlText w:val="•"/>
      <w:lvlJc w:val="left"/>
      <w:pPr>
        <w:ind w:left="3214" w:hanging="423"/>
      </w:pPr>
      <w:rPr>
        <w:rFonts w:hint="default"/>
      </w:rPr>
    </w:lvl>
    <w:lvl w:ilvl="4" w:tplc="3188853C">
      <w:start w:val="1"/>
      <w:numFmt w:val="bullet"/>
      <w:lvlText w:val="•"/>
      <w:lvlJc w:val="left"/>
      <w:pPr>
        <w:ind w:left="4024" w:hanging="423"/>
      </w:pPr>
      <w:rPr>
        <w:rFonts w:hint="default"/>
      </w:rPr>
    </w:lvl>
    <w:lvl w:ilvl="5" w:tplc="E64EBF66">
      <w:start w:val="1"/>
      <w:numFmt w:val="bullet"/>
      <w:lvlText w:val="•"/>
      <w:lvlJc w:val="left"/>
      <w:pPr>
        <w:ind w:left="4835" w:hanging="423"/>
      </w:pPr>
      <w:rPr>
        <w:rFonts w:hint="default"/>
      </w:rPr>
    </w:lvl>
    <w:lvl w:ilvl="6" w:tplc="5C488E12">
      <w:start w:val="1"/>
      <w:numFmt w:val="bullet"/>
      <w:lvlText w:val="•"/>
      <w:lvlJc w:val="left"/>
      <w:pPr>
        <w:ind w:left="5645" w:hanging="423"/>
      </w:pPr>
      <w:rPr>
        <w:rFonts w:hint="default"/>
      </w:rPr>
    </w:lvl>
    <w:lvl w:ilvl="7" w:tplc="D284A76E">
      <w:start w:val="1"/>
      <w:numFmt w:val="bullet"/>
      <w:lvlText w:val="•"/>
      <w:lvlJc w:val="left"/>
      <w:pPr>
        <w:ind w:left="6455" w:hanging="423"/>
      </w:pPr>
      <w:rPr>
        <w:rFonts w:hint="default"/>
      </w:rPr>
    </w:lvl>
    <w:lvl w:ilvl="8" w:tplc="A4864C70">
      <w:start w:val="1"/>
      <w:numFmt w:val="bullet"/>
      <w:lvlText w:val="•"/>
      <w:lvlJc w:val="left"/>
      <w:pPr>
        <w:ind w:left="7266" w:hanging="423"/>
      </w:pPr>
      <w:rPr>
        <w:rFonts w:hint="default"/>
      </w:rPr>
    </w:lvl>
  </w:abstractNum>
  <w:abstractNum w:abstractNumId="2" w15:restartNumberingAfterBreak="0">
    <w:nsid w:val="2E594750"/>
    <w:multiLevelType w:val="hybridMultilevel"/>
    <w:tmpl w:val="2794E618"/>
    <w:lvl w:ilvl="0" w:tplc="DB3C4B8E">
      <w:start w:val="1"/>
      <w:numFmt w:val="bullet"/>
      <w:lvlText w:val=""/>
      <w:lvlJc w:val="left"/>
      <w:pPr>
        <w:ind w:left="522" w:hanging="423"/>
      </w:pPr>
      <w:rPr>
        <w:rFonts w:ascii="Symbol" w:eastAsia="Symbol" w:hAnsi="Symbol" w:hint="default"/>
        <w:sz w:val="24"/>
        <w:szCs w:val="24"/>
      </w:rPr>
    </w:lvl>
    <w:lvl w:ilvl="1" w:tplc="E9723CF0">
      <w:start w:val="1"/>
      <w:numFmt w:val="bullet"/>
      <w:lvlText w:val="•"/>
      <w:lvlJc w:val="left"/>
      <w:pPr>
        <w:ind w:left="1332" w:hanging="423"/>
      </w:pPr>
      <w:rPr>
        <w:rFonts w:hint="default"/>
      </w:rPr>
    </w:lvl>
    <w:lvl w:ilvl="2" w:tplc="2C6C8020">
      <w:start w:val="1"/>
      <w:numFmt w:val="bullet"/>
      <w:lvlText w:val="•"/>
      <w:lvlJc w:val="left"/>
      <w:pPr>
        <w:ind w:left="2142" w:hanging="423"/>
      </w:pPr>
      <w:rPr>
        <w:rFonts w:hint="default"/>
      </w:rPr>
    </w:lvl>
    <w:lvl w:ilvl="3" w:tplc="D0CEF65A">
      <w:start w:val="1"/>
      <w:numFmt w:val="bullet"/>
      <w:lvlText w:val="•"/>
      <w:lvlJc w:val="left"/>
      <w:pPr>
        <w:ind w:left="2953" w:hanging="423"/>
      </w:pPr>
      <w:rPr>
        <w:rFonts w:hint="default"/>
      </w:rPr>
    </w:lvl>
    <w:lvl w:ilvl="4" w:tplc="9790FA7C">
      <w:start w:val="1"/>
      <w:numFmt w:val="bullet"/>
      <w:lvlText w:val="•"/>
      <w:lvlJc w:val="left"/>
      <w:pPr>
        <w:ind w:left="3763" w:hanging="423"/>
      </w:pPr>
      <w:rPr>
        <w:rFonts w:hint="default"/>
      </w:rPr>
    </w:lvl>
    <w:lvl w:ilvl="5" w:tplc="128A89C8">
      <w:start w:val="1"/>
      <w:numFmt w:val="bullet"/>
      <w:lvlText w:val="•"/>
      <w:lvlJc w:val="left"/>
      <w:pPr>
        <w:ind w:left="4574" w:hanging="423"/>
      </w:pPr>
      <w:rPr>
        <w:rFonts w:hint="default"/>
      </w:rPr>
    </w:lvl>
    <w:lvl w:ilvl="6" w:tplc="1EEA42C8">
      <w:start w:val="1"/>
      <w:numFmt w:val="bullet"/>
      <w:lvlText w:val="•"/>
      <w:lvlJc w:val="left"/>
      <w:pPr>
        <w:ind w:left="5384" w:hanging="423"/>
      </w:pPr>
      <w:rPr>
        <w:rFonts w:hint="default"/>
      </w:rPr>
    </w:lvl>
    <w:lvl w:ilvl="7" w:tplc="6A22F55C">
      <w:start w:val="1"/>
      <w:numFmt w:val="bullet"/>
      <w:lvlText w:val="•"/>
      <w:lvlJc w:val="left"/>
      <w:pPr>
        <w:ind w:left="6194" w:hanging="423"/>
      </w:pPr>
      <w:rPr>
        <w:rFonts w:hint="default"/>
      </w:rPr>
    </w:lvl>
    <w:lvl w:ilvl="8" w:tplc="75CCB286">
      <w:start w:val="1"/>
      <w:numFmt w:val="bullet"/>
      <w:lvlText w:val="•"/>
      <w:lvlJc w:val="left"/>
      <w:pPr>
        <w:ind w:left="7005" w:hanging="423"/>
      </w:pPr>
      <w:rPr>
        <w:rFonts w:hint="default"/>
      </w:rPr>
    </w:lvl>
  </w:abstractNum>
  <w:abstractNum w:abstractNumId="3" w15:restartNumberingAfterBreak="0">
    <w:nsid w:val="34D50C3E"/>
    <w:multiLevelType w:val="hybridMultilevel"/>
    <w:tmpl w:val="C0B2FA0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BCC2E63"/>
    <w:multiLevelType w:val="hybridMultilevel"/>
    <w:tmpl w:val="9476DB8C"/>
    <w:lvl w:ilvl="0" w:tplc="0342749A">
      <w:start w:val="1"/>
      <w:numFmt w:val="bullet"/>
      <w:lvlText w:val=""/>
      <w:lvlJc w:val="left"/>
      <w:pPr>
        <w:ind w:left="522" w:hanging="360"/>
      </w:pPr>
      <w:rPr>
        <w:rFonts w:ascii="Symbol" w:eastAsia="Symbol" w:hAnsi="Symbol" w:hint="default"/>
        <w:sz w:val="24"/>
        <w:szCs w:val="24"/>
      </w:rPr>
    </w:lvl>
    <w:lvl w:ilvl="1" w:tplc="D72E803E">
      <w:start w:val="1"/>
      <w:numFmt w:val="bullet"/>
      <w:lvlText w:val="•"/>
      <w:lvlJc w:val="left"/>
      <w:pPr>
        <w:ind w:left="1332" w:hanging="360"/>
      </w:pPr>
      <w:rPr>
        <w:rFonts w:hint="default"/>
      </w:rPr>
    </w:lvl>
    <w:lvl w:ilvl="2" w:tplc="6B341C0E">
      <w:start w:val="1"/>
      <w:numFmt w:val="bullet"/>
      <w:lvlText w:val="•"/>
      <w:lvlJc w:val="left"/>
      <w:pPr>
        <w:ind w:left="2142" w:hanging="360"/>
      </w:pPr>
      <w:rPr>
        <w:rFonts w:hint="default"/>
      </w:rPr>
    </w:lvl>
    <w:lvl w:ilvl="3" w:tplc="A0487C6C">
      <w:start w:val="1"/>
      <w:numFmt w:val="bullet"/>
      <w:lvlText w:val="•"/>
      <w:lvlJc w:val="left"/>
      <w:pPr>
        <w:ind w:left="2953" w:hanging="360"/>
      </w:pPr>
      <w:rPr>
        <w:rFonts w:hint="default"/>
      </w:rPr>
    </w:lvl>
    <w:lvl w:ilvl="4" w:tplc="98C07006">
      <w:start w:val="1"/>
      <w:numFmt w:val="bullet"/>
      <w:lvlText w:val="•"/>
      <w:lvlJc w:val="left"/>
      <w:pPr>
        <w:ind w:left="3763" w:hanging="360"/>
      </w:pPr>
      <w:rPr>
        <w:rFonts w:hint="default"/>
      </w:rPr>
    </w:lvl>
    <w:lvl w:ilvl="5" w:tplc="34D42D5E">
      <w:start w:val="1"/>
      <w:numFmt w:val="bullet"/>
      <w:lvlText w:val="•"/>
      <w:lvlJc w:val="left"/>
      <w:pPr>
        <w:ind w:left="4574" w:hanging="360"/>
      </w:pPr>
      <w:rPr>
        <w:rFonts w:hint="default"/>
      </w:rPr>
    </w:lvl>
    <w:lvl w:ilvl="6" w:tplc="F858E1C2">
      <w:start w:val="1"/>
      <w:numFmt w:val="bullet"/>
      <w:lvlText w:val="•"/>
      <w:lvlJc w:val="left"/>
      <w:pPr>
        <w:ind w:left="5384" w:hanging="360"/>
      </w:pPr>
      <w:rPr>
        <w:rFonts w:hint="default"/>
      </w:rPr>
    </w:lvl>
    <w:lvl w:ilvl="7" w:tplc="4D3C8716">
      <w:start w:val="1"/>
      <w:numFmt w:val="bullet"/>
      <w:lvlText w:val="•"/>
      <w:lvlJc w:val="left"/>
      <w:pPr>
        <w:ind w:left="6194" w:hanging="360"/>
      </w:pPr>
      <w:rPr>
        <w:rFonts w:hint="default"/>
      </w:rPr>
    </w:lvl>
    <w:lvl w:ilvl="8" w:tplc="C708FA8C">
      <w:start w:val="1"/>
      <w:numFmt w:val="bullet"/>
      <w:lvlText w:val="•"/>
      <w:lvlJc w:val="left"/>
      <w:pPr>
        <w:ind w:left="7005" w:hanging="360"/>
      </w:pPr>
      <w:rPr>
        <w:rFonts w:hint="default"/>
      </w:rPr>
    </w:lvl>
  </w:abstractNum>
  <w:abstractNum w:abstractNumId="5" w15:restartNumberingAfterBreak="0">
    <w:nsid w:val="68F37C74"/>
    <w:multiLevelType w:val="hybridMultilevel"/>
    <w:tmpl w:val="85A6BBF4"/>
    <w:lvl w:ilvl="0" w:tplc="440CD15E">
      <w:start w:val="1"/>
      <w:numFmt w:val="bullet"/>
      <w:lvlText w:val=""/>
      <w:lvlJc w:val="left"/>
      <w:pPr>
        <w:ind w:left="459" w:hanging="360"/>
      </w:pPr>
      <w:rPr>
        <w:rFonts w:ascii="Symbol" w:eastAsia="Symbol" w:hAnsi="Symbol" w:hint="default"/>
        <w:sz w:val="24"/>
        <w:szCs w:val="24"/>
      </w:rPr>
    </w:lvl>
    <w:lvl w:ilvl="1" w:tplc="9774A650">
      <w:start w:val="1"/>
      <w:numFmt w:val="bullet"/>
      <w:lvlText w:val="•"/>
      <w:lvlJc w:val="left"/>
      <w:pPr>
        <w:ind w:left="1276" w:hanging="360"/>
      </w:pPr>
      <w:rPr>
        <w:rFonts w:hint="default"/>
      </w:rPr>
    </w:lvl>
    <w:lvl w:ilvl="2" w:tplc="F71A404A">
      <w:start w:val="1"/>
      <w:numFmt w:val="bullet"/>
      <w:lvlText w:val="•"/>
      <w:lvlJc w:val="left"/>
      <w:pPr>
        <w:ind w:left="2093" w:hanging="360"/>
      </w:pPr>
      <w:rPr>
        <w:rFonts w:hint="default"/>
      </w:rPr>
    </w:lvl>
    <w:lvl w:ilvl="3" w:tplc="B218E6A6">
      <w:start w:val="1"/>
      <w:numFmt w:val="bullet"/>
      <w:lvlText w:val="•"/>
      <w:lvlJc w:val="left"/>
      <w:pPr>
        <w:ind w:left="2909" w:hanging="360"/>
      </w:pPr>
      <w:rPr>
        <w:rFonts w:hint="default"/>
      </w:rPr>
    </w:lvl>
    <w:lvl w:ilvl="4" w:tplc="FDBA800A">
      <w:start w:val="1"/>
      <w:numFmt w:val="bullet"/>
      <w:lvlText w:val="•"/>
      <w:lvlJc w:val="left"/>
      <w:pPr>
        <w:ind w:left="3726" w:hanging="360"/>
      </w:pPr>
      <w:rPr>
        <w:rFonts w:hint="default"/>
      </w:rPr>
    </w:lvl>
    <w:lvl w:ilvl="5" w:tplc="677C5B8C">
      <w:start w:val="1"/>
      <w:numFmt w:val="bullet"/>
      <w:lvlText w:val="•"/>
      <w:lvlJc w:val="left"/>
      <w:pPr>
        <w:ind w:left="4542" w:hanging="360"/>
      </w:pPr>
      <w:rPr>
        <w:rFonts w:hint="default"/>
      </w:rPr>
    </w:lvl>
    <w:lvl w:ilvl="6" w:tplc="83BADC86">
      <w:start w:val="1"/>
      <w:numFmt w:val="bullet"/>
      <w:lvlText w:val="•"/>
      <w:lvlJc w:val="left"/>
      <w:pPr>
        <w:ind w:left="5359" w:hanging="360"/>
      </w:pPr>
      <w:rPr>
        <w:rFonts w:hint="default"/>
      </w:rPr>
    </w:lvl>
    <w:lvl w:ilvl="7" w:tplc="96E6938C">
      <w:start w:val="1"/>
      <w:numFmt w:val="bullet"/>
      <w:lvlText w:val="•"/>
      <w:lvlJc w:val="left"/>
      <w:pPr>
        <w:ind w:left="6176" w:hanging="360"/>
      </w:pPr>
      <w:rPr>
        <w:rFonts w:hint="default"/>
      </w:rPr>
    </w:lvl>
    <w:lvl w:ilvl="8" w:tplc="ECC61E16">
      <w:start w:val="1"/>
      <w:numFmt w:val="bullet"/>
      <w:lvlText w:val="•"/>
      <w:lvlJc w:val="left"/>
      <w:pPr>
        <w:ind w:left="6992" w:hanging="36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2B"/>
    <w:rsid w:val="00004D73"/>
    <w:rsid w:val="00061B2F"/>
    <w:rsid w:val="00070E37"/>
    <w:rsid w:val="00202CFC"/>
    <w:rsid w:val="002D107E"/>
    <w:rsid w:val="00306BB6"/>
    <w:rsid w:val="003406D7"/>
    <w:rsid w:val="00353836"/>
    <w:rsid w:val="003E7EBC"/>
    <w:rsid w:val="0046284D"/>
    <w:rsid w:val="00476FB4"/>
    <w:rsid w:val="00490CA7"/>
    <w:rsid w:val="004F0887"/>
    <w:rsid w:val="0070786C"/>
    <w:rsid w:val="007209BF"/>
    <w:rsid w:val="00732B72"/>
    <w:rsid w:val="007D72D3"/>
    <w:rsid w:val="007E3927"/>
    <w:rsid w:val="0081565E"/>
    <w:rsid w:val="00854789"/>
    <w:rsid w:val="008805DB"/>
    <w:rsid w:val="00882AFE"/>
    <w:rsid w:val="008A540C"/>
    <w:rsid w:val="008E1F88"/>
    <w:rsid w:val="008E7A1D"/>
    <w:rsid w:val="0091475F"/>
    <w:rsid w:val="00956A9C"/>
    <w:rsid w:val="0098457E"/>
    <w:rsid w:val="009A6DCE"/>
    <w:rsid w:val="00A47DA1"/>
    <w:rsid w:val="00AB4379"/>
    <w:rsid w:val="00BA5754"/>
    <w:rsid w:val="00C00419"/>
    <w:rsid w:val="00C964AA"/>
    <w:rsid w:val="00CB1F94"/>
    <w:rsid w:val="00CF3083"/>
    <w:rsid w:val="00D1004E"/>
    <w:rsid w:val="00DA4F2B"/>
    <w:rsid w:val="00ED6F50"/>
    <w:rsid w:val="00F91CE2"/>
    <w:rsid w:val="00FE5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2E0D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4F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F2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8457E"/>
    <w:pPr>
      <w:ind w:left="720"/>
      <w:contextualSpacing/>
    </w:pPr>
  </w:style>
  <w:style w:type="paragraph" w:styleId="BalloonText">
    <w:name w:val="Balloon Text"/>
    <w:basedOn w:val="Normal"/>
    <w:link w:val="BalloonTextChar"/>
    <w:uiPriority w:val="99"/>
    <w:semiHidden/>
    <w:unhideWhenUsed/>
    <w:rsid w:val="00340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6D7"/>
    <w:rPr>
      <w:rFonts w:ascii="Segoe UI" w:hAnsi="Segoe UI" w:cs="Segoe UI"/>
      <w:sz w:val="18"/>
      <w:szCs w:val="18"/>
    </w:rPr>
  </w:style>
  <w:style w:type="paragraph" w:styleId="Header">
    <w:name w:val="header"/>
    <w:basedOn w:val="Normal"/>
    <w:link w:val="HeaderChar"/>
    <w:uiPriority w:val="99"/>
    <w:unhideWhenUsed/>
    <w:rsid w:val="008156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5E"/>
  </w:style>
  <w:style w:type="paragraph" w:styleId="Footer">
    <w:name w:val="footer"/>
    <w:basedOn w:val="Normal"/>
    <w:link w:val="FooterChar"/>
    <w:uiPriority w:val="99"/>
    <w:unhideWhenUsed/>
    <w:rsid w:val="008156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5E"/>
  </w:style>
  <w:style w:type="character" w:styleId="CommentReference">
    <w:name w:val="annotation reference"/>
    <w:basedOn w:val="DefaultParagraphFont"/>
    <w:uiPriority w:val="99"/>
    <w:semiHidden/>
    <w:unhideWhenUsed/>
    <w:rsid w:val="00AB4379"/>
    <w:rPr>
      <w:sz w:val="16"/>
      <w:szCs w:val="16"/>
    </w:rPr>
  </w:style>
  <w:style w:type="paragraph" w:styleId="CommentText">
    <w:name w:val="annotation text"/>
    <w:basedOn w:val="Normal"/>
    <w:link w:val="CommentTextChar"/>
    <w:uiPriority w:val="99"/>
    <w:semiHidden/>
    <w:unhideWhenUsed/>
    <w:rsid w:val="00AB4379"/>
    <w:pPr>
      <w:spacing w:line="240" w:lineRule="auto"/>
    </w:pPr>
    <w:rPr>
      <w:sz w:val="20"/>
      <w:szCs w:val="20"/>
    </w:rPr>
  </w:style>
  <w:style w:type="character" w:customStyle="1" w:styleId="CommentTextChar">
    <w:name w:val="Comment Text Char"/>
    <w:basedOn w:val="DefaultParagraphFont"/>
    <w:link w:val="CommentText"/>
    <w:uiPriority w:val="99"/>
    <w:semiHidden/>
    <w:rsid w:val="00AB4379"/>
    <w:rPr>
      <w:sz w:val="20"/>
      <w:szCs w:val="20"/>
    </w:rPr>
  </w:style>
  <w:style w:type="paragraph" w:styleId="CommentSubject">
    <w:name w:val="annotation subject"/>
    <w:basedOn w:val="CommentText"/>
    <w:next w:val="CommentText"/>
    <w:link w:val="CommentSubjectChar"/>
    <w:uiPriority w:val="99"/>
    <w:semiHidden/>
    <w:unhideWhenUsed/>
    <w:rsid w:val="00AB4379"/>
    <w:rPr>
      <w:b/>
      <w:bCs/>
    </w:rPr>
  </w:style>
  <w:style w:type="character" w:customStyle="1" w:styleId="CommentSubjectChar">
    <w:name w:val="Comment Subject Char"/>
    <w:basedOn w:val="CommentTextChar"/>
    <w:link w:val="CommentSubject"/>
    <w:uiPriority w:val="99"/>
    <w:semiHidden/>
    <w:rsid w:val="00AB43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1382">
      <w:bodyDiv w:val="1"/>
      <w:marLeft w:val="0"/>
      <w:marRight w:val="0"/>
      <w:marTop w:val="0"/>
      <w:marBottom w:val="0"/>
      <w:divBdr>
        <w:top w:val="none" w:sz="0" w:space="0" w:color="auto"/>
        <w:left w:val="none" w:sz="0" w:space="0" w:color="auto"/>
        <w:bottom w:val="none" w:sz="0" w:space="0" w:color="auto"/>
        <w:right w:val="none" w:sz="0" w:space="0" w:color="auto"/>
      </w:divBdr>
    </w:div>
    <w:div w:id="21459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2020-04-20T13:07:00Z</dcterms:created>
  <dcterms:modified xsi:type="dcterms:W3CDTF">2020-04-20T13:07:00Z</dcterms:modified>
</cp:coreProperties>
</file>